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2" w:type="dxa"/>
        <w:tblInd w:w="-85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0"/>
        <w:gridCol w:w="6812"/>
      </w:tblGrid>
      <w:tr w:rsidR="00B955A7" w:rsidRPr="001F2C7C" w:rsidTr="00B955A7">
        <w:trPr>
          <w:trHeight w:val="1971"/>
        </w:trPr>
        <w:tc>
          <w:tcPr>
            <w:tcW w:w="2390" w:type="dxa"/>
            <w:vAlign w:val="center"/>
          </w:tcPr>
          <w:p w:rsidR="00B955A7" w:rsidRPr="001F2C7C" w:rsidRDefault="00B955A7" w:rsidP="00436CC4">
            <w:pPr>
              <w:jc w:val="center"/>
              <w:rPr>
                <w:rFonts w:ascii="華康隸書體W7" w:eastAsia="華康隸書體W7"/>
                <w:b/>
                <w:sz w:val="56"/>
                <w:szCs w:val="56"/>
              </w:rPr>
            </w:pPr>
            <w:r w:rsidRPr="001A546F">
              <w:rPr>
                <w:rFonts w:hint="eastAsia"/>
                <w:noProof/>
                <w:sz w:val="28"/>
                <w:szCs w:val="28"/>
              </w:rPr>
              <w:drawing>
                <wp:inline distT="0" distB="0" distL="0" distR="0">
                  <wp:extent cx="1333500" cy="1333500"/>
                  <wp:effectExtent l="0" t="0" r="0" b="0"/>
                  <wp:docPr id="2" name="圖片 2" descr="../Local%20Settings/Temporary%20Internet%20Files/Content.IE5/OHMVC1YV/新聞稿/My%20Documents/行政庭長/雜七雜八/A5-02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../Local%20Settings/Temporary%20Internet%20Files/Content.IE5/OHMVC1YV/新聞稿/My%20Documents/行政庭長/雜七雜八/A5-02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6812" w:type="dxa"/>
          </w:tcPr>
          <w:p w:rsidR="00B955A7" w:rsidRPr="00610024" w:rsidRDefault="00B955A7" w:rsidP="00436CC4">
            <w:pPr>
              <w:ind w:firstLineChars="91" w:firstLine="510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56"/>
                <w:szCs w:val="56"/>
              </w:rPr>
              <w:t>臺灣高雄地方</w:t>
            </w:r>
            <w:r w:rsidRPr="001D12F0">
              <w:rPr>
                <w:rFonts w:ascii="標楷體" w:eastAsia="標楷體" w:hAnsi="標楷體" w:hint="eastAsia"/>
                <w:b/>
                <w:sz w:val="56"/>
                <w:szCs w:val="56"/>
              </w:rPr>
              <w:t>法院</w:t>
            </w:r>
            <w:r w:rsidRPr="001F2C7C">
              <w:rPr>
                <w:rFonts w:ascii="標楷體" w:eastAsia="標楷體" w:hAnsi="標楷體" w:hint="eastAsia"/>
                <w:b/>
                <w:sz w:val="56"/>
                <w:szCs w:val="56"/>
              </w:rPr>
              <w:t>新聞稿</w:t>
            </w:r>
          </w:p>
          <w:p w:rsidR="00B955A7" w:rsidRPr="00D57F83" w:rsidRDefault="00B955A7" w:rsidP="00436CC4">
            <w:pPr>
              <w:spacing w:line="0" w:lineRule="atLeast"/>
              <w:ind w:firstLineChars="375" w:firstLine="10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發稿日期：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82A11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864757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B955A7" w:rsidRPr="001D12F0" w:rsidRDefault="00B955A7" w:rsidP="00436CC4">
            <w:pPr>
              <w:spacing w:line="0" w:lineRule="atLeast"/>
              <w:ind w:firstLineChars="375" w:firstLine="10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發稿單位：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行政庭</w:t>
            </w:r>
          </w:p>
          <w:p w:rsidR="00B955A7" w:rsidRPr="00296B91" w:rsidRDefault="00B955A7" w:rsidP="00436CC4">
            <w:pPr>
              <w:spacing w:line="0" w:lineRule="atLeast"/>
              <w:ind w:firstLineChars="375" w:firstLine="1050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 w:rsidRPr="00296B91">
              <w:rPr>
                <w:rFonts w:ascii="標楷體" w:eastAsia="標楷體" w:hAnsi="標楷體" w:hint="eastAsia"/>
                <w:sz w:val="28"/>
                <w:szCs w:val="28"/>
              </w:rPr>
              <w:t xml:space="preserve">發言人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楊國祥庭長</w:t>
            </w:r>
          </w:p>
          <w:p w:rsidR="00B955A7" w:rsidRPr="008C63F0" w:rsidRDefault="00B955A7" w:rsidP="00864757">
            <w:pPr>
              <w:spacing w:line="0" w:lineRule="atLeast"/>
              <w:ind w:firstLineChars="375" w:firstLine="1050"/>
              <w:rPr>
                <w:rFonts w:ascii="標楷體" w:eastAsia="標楷體" w:hAnsi="標楷體"/>
                <w:sz w:val="28"/>
                <w:szCs w:val="28"/>
              </w:rPr>
            </w:pPr>
            <w:r w:rsidRPr="00296B91">
              <w:rPr>
                <w:rFonts w:ascii="標楷體" w:eastAsia="標楷體" w:hAnsi="標楷體" w:hint="eastAsia"/>
                <w:sz w:val="28"/>
                <w:szCs w:val="28"/>
              </w:rPr>
              <w:t>連絡電話：07-2161418分機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2505</w:t>
            </w:r>
            <w:r w:rsidRPr="00296B91">
              <w:rPr>
                <w:rFonts w:ascii="標楷體" w:eastAsia="標楷體" w:hAnsi="標楷體" w:hint="eastAsia"/>
              </w:rPr>
              <w:t>編號：</w:t>
            </w:r>
            <w:r>
              <w:rPr>
                <w:rFonts w:ascii="標楷體" w:eastAsia="標楷體" w:hAnsi="標楷體" w:hint="eastAsia"/>
              </w:rPr>
              <w:t>110－</w:t>
            </w:r>
            <w:r w:rsidR="0006572A">
              <w:rPr>
                <w:rFonts w:ascii="標楷體" w:eastAsia="標楷體" w:hAnsi="標楷體" w:hint="eastAsia"/>
              </w:rPr>
              <w:t>1</w:t>
            </w:r>
            <w:r w:rsidR="00864757">
              <w:rPr>
                <w:rFonts w:ascii="標楷體" w:eastAsia="標楷體" w:hAnsi="標楷體" w:hint="eastAsia"/>
              </w:rPr>
              <w:t>4</w:t>
            </w:r>
          </w:p>
        </w:tc>
      </w:tr>
    </w:tbl>
    <w:p w:rsidR="00B955A7" w:rsidRDefault="00B955A7" w:rsidP="00B955A7">
      <w:pPr>
        <w:jc w:val="both"/>
        <w:rPr>
          <w:rFonts w:ascii="標楷體" w:eastAsia="標楷體" w:hAnsi="標楷體"/>
          <w:b/>
          <w:sz w:val="32"/>
          <w:szCs w:val="32"/>
        </w:rPr>
      </w:pPr>
      <w:r w:rsidRPr="001F2C7C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217805</wp:posOffset>
                </wp:positionV>
                <wp:extent cx="6068423" cy="0"/>
                <wp:effectExtent l="0" t="19050" r="27940" b="1905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8423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821F4" id="直線接點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17.15pt" to="453.8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" strokeweight="2.25pt"/>
            </w:pict>
          </mc:Fallback>
        </mc:AlternateContent>
      </w:r>
    </w:p>
    <w:p w:rsidR="00E82AB2" w:rsidRDefault="007541BE" w:rsidP="00C14EFC">
      <w:pPr>
        <w:spacing w:line="480" w:lineRule="exact"/>
        <w:ind w:left="641" w:hanging="641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DB7BC6">
        <w:rPr>
          <w:rFonts w:ascii="標楷體" w:eastAsia="標楷體" w:hAnsi="標楷體" w:hint="eastAsia"/>
          <w:b/>
          <w:color w:val="FF0000"/>
          <w:sz w:val="32"/>
          <w:szCs w:val="32"/>
        </w:rPr>
        <w:t>臺灣高雄地方法院</w:t>
      </w:r>
      <w:r w:rsidR="00F67238">
        <w:rPr>
          <w:rFonts w:ascii="標楷體" w:eastAsia="標楷體" w:hAnsi="標楷體" w:hint="eastAsia"/>
          <w:b/>
          <w:color w:val="FF0000"/>
          <w:sz w:val="32"/>
          <w:szCs w:val="32"/>
        </w:rPr>
        <w:t>因應</w:t>
      </w:r>
      <w:r w:rsidR="00E82AB2">
        <w:rPr>
          <w:rFonts w:ascii="標楷體" w:eastAsia="標楷體" w:hAnsi="標楷體" w:hint="eastAsia"/>
          <w:b/>
          <w:color w:val="FF0000"/>
          <w:sz w:val="32"/>
          <w:szCs w:val="32"/>
        </w:rPr>
        <w:t>全國</w:t>
      </w:r>
      <w:r w:rsidR="006C1C73">
        <w:rPr>
          <w:rFonts w:ascii="標楷體" w:eastAsia="標楷體" w:hAnsi="標楷體" w:hint="eastAsia"/>
          <w:b/>
          <w:color w:val="FF0000"/>
          <w:sz w:val="32"/>
          <w:szCs w:val="32"/>
        </w:rPr>
        <w:t>疫情調降</w:t>
      </w:r>
      <w:r w:rsidR="00864757">
        <w:rPr>
          <w:rFonts w:ascii="標楷體" w:eastAsia="標楷體" w:hAnsi="標楷體" w:hint="eastAsia"/>
          <w:b/>
          <w:color w:val="FF0000"/>
          <w:sz w:val="32"/>
          <w:szCs w:val="32"/>
        </w:rPr>
        <w:t>二</w:t>
      </w:r>
      <w:r w:rsidR="00E82AB2">
        <w:rPr>
          <w:rFonts w:ascii="標楷體" w:eastAsia="標楷體" w:hAnsi="標楷體" w:hint="eastAsia"/>
          <w:b/>
          <w:color w:val="FF0000"/>
          <w:sz w:val="32"/>
          <w:szCs w:val="32"/>
        </w:rPr>
        <w:t>級之</w:t>
      </w:r>
      <w:r w:rsidR="00F67238">
        <w:rPr>
          <w:rFonts w:ascii="標楷體" w:eastAsia="標楷體" w:hAnsi="標楷體" w:hint="eastAsia"/>
          <w:b/>
          <w:color w:val="FF0000"/>
          <w:sz w:val="32"/>
          <w:szCs w:val="32"/>
        </w:rPr>
        <w:t>相關</w:t>
      </w:r>
      <w:r w:rsidR="006C1C73">
        <w:rPr>
          <w:rFonts w:ascii="標楷體" w:eastAsia="標楷體" w:hAnsi="標楷體" w:hint="eastAsia"/>
          <w:b/>
          <w:color w:val="FF0000"/>
          <w:sz w:val="32"/>
          <w:szCs w:val="32"/>
        </w:rPr>
        <w:t>防疫</w:t>
      </w:r>
      <w:r w:rsidR="0006572A">
        <w:rPr>
          <w:rFonts w:ascii="標楷體" w:eastAsia="標楷體" w:hAnsi="標楷體" w:hint="eastAsia"/>
          <w:b/>
          <w:color w:val="FF0000"/>
          <w:sz w:val="32"/>
          <w:szCs w:val="32"/>
        </w:rPr>
        <w:t>措施公告</w:t>
      </w:r>
      <w:r w:rsidRPr="00DB7BC6">
        <w:rPr>
          <w:rFonts w:ascii="標楷體" w:eastAsia="標楷體" w:hAnsi="標楷體" w:hint="eastAsia"/>
          <w:b/>
          <w:color w:val="FF0000"/>
          <w:sz w:val="32"/>
          <w:szCs w:val="32"/>
        </w:rPr>
        <w:t>新聞稿</w:t>
      </w:r>
    </w:p>
    <w:p w:rsidR="006C1C73" w:rsidRPr="006C1C73" w:rsidRDefault="00A82A11" w:rsidP="00C14EF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A82A1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A82A11">
        <w:rPr>
          <w:rFonts w:ascii="標楷體" w:eastAsia="標楷體" w:hAnsi="標楷體" w:hint="eastAsia"/>
          <w:sz w:val="28"/>
          <w:szCs w:val="28"/>
        </w:rPr>
        <w:t xml:space="preserve"> </w:t>
      </w:r>
      <w:r w:rsidR="006C1C73">
        <w:rPr>
          <w:rFonts w:ascii="標楷體" w:eastAsia="標楷體" w:hAnsi="標楷體"/>
          <w:sz w:val="28"/>
          <w:szCs w:val="28"/>
        </w:rPr>
        <w:t xml:space="preserve"> </w:t>
      </w:r>
      <w:r w:rsidR="006C1C73" w:rsidRPr="006C1C73">
        <w:rPr>
          <w:rFonts w:ascii="標楷體" w:eastAsia="標楷體" w:hAnsi="標楷體" w:hint="eastAsia"/>
          <w:sz w:val="28"/>
          <w:szCs w:val="28"/>
        </w:rPr>
        <w:t>因中央流行疫情指揮中心於民國110年7月23日宣布自7月27日起調降疫情警戒為第二級至8月9日，本院為維持公務正常運作，考量疫情已較緩和，依司法院所公告防疫指引，</w:t>
      </w:r>
      <w:r w:rsidR="006C1C73" w:rsidRPr="006C1C7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自7月27日起將依個案情形，或選擇實體開庭，或於符合相關法令規範，且能維護當事人及關係人合法權益者，使用遠距視訊(包含延伸法庭)方式開庭</w:t>
      </w:r>
      <w:r w:rsidR="006C1C73" w:rsidRPr="006C1C73">
        <w:rPr>
          <w:rFonts w:ascii="標楷體" w:eastAsia="標楷體" w:hAnsi="標楷體" w:hint="eastAsia"/>
          <w:sz w:val="28"/>
          <w:szCs w:val="28"/>
        </w:rPr>
        <w:t>。此外，自7月27日起，其餘業務均正常辦理，除仍要求到院民眾量體溫、手部消毒、全程配戴口罩及實聯制外，為管控人流，並採取如下防疫作為：</w:t>
      </w:r>
    </w:p>
    <w:p w:rsidR="00C14EFC" w:rsidRDefault="006C1C73" w:rsidP="00C14EF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C1C73">
        <w:rPr>
          <w:rFonts w:ascii="標楷體" w:eastAsia="標楷體" w:hAnsi="標楷體" w:hint="eastAsia"/>
          <w:sz w:val="28"/>
          <w:szCs w:val="28"/>
        </w:rPr>
        <w:t>一、進入法院之民眾應與他人保持室內1.5公尺，室外1公尺之安</w:t>
      </w:r>
    </w:p>
    <w:p w:rsidR="006C1C73" w:rsidRPr="006C1C73" w:rsidRDefault="006C1C73" w:rsidP="00C14EFC">
      <w:pPr>
        <w:spacing w:line="48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6C1C73">
        <w:rPr>
          <w:rFonts w:ascii="標楷體" w:eastAsia="標楷體" w:hAnsi="標楷體" w:hint="eastAsia"/>
          <w:sz w:val="28"/>
          <w:szCs w:val="28"/>
        </w:rPr>
        <w:t>全社交距離，於休息區內採梅花座。</w:t>
      </w:r>
    </w:p>
    <w:p w:rsidR="006C1C73" w:rsidRPr="006C1C73" w:rsidRDefault="006C1C73" w:rsidP="00C14EFC">
      <w:pPr>
        <w:spacing w:line="48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6C1C73">
        <w:rPr>
          <w:rFonts w:ascii="標楷體" w:eastAsia="標楷體" w:hAnsi="標楷體" w:hint="eastAsia"/>
          <w:sz w:val="28"/>
          <w:szCs w:val="28"/>
        </w:rPr>
        <w:t>二、至法庭旁聽民眾一率採行梅花座，如旁聽民眾超出旁聽區可容納人數(可容納人數詳如附表)，將由審判長視情況限制部分民眾進入法庭。</w:t>
      </w:r>
    </w:p>
    <w:p w:rsidR="006C1C73" w:rsidRPr="006C1C73" w:rsidRDefault="006C1C73" w:rsidP="00C14EFC">
      <w:pPr>
        <w:spacing w:line="48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6C1C73">
        <w:rPr>
          <w:rFonts w:ascii="標楷體" w:eastAsia="標楷體" w:hAnsi="標楷體" w:hint="eastAsia"/>
          <w:sz w:val="28"/>
          <w:szCs w:val="28"/>
        </w:rPr>
        <w:t>三、至民事執行處參與投標之民眾，採行梅花座，但如同一開標時間民眾超過可容納人數，將由參與投標人優先入座(一標單以一人為限)。</w:t>
      </w:r>
    </w:p>
    <w:p w:rsidR="006C1C73" w:rsidRPr="006C1C73" w:rsidRDefault="006C1C73" w:rsidP="00C14EFC">
      <w:pPr>
        <w:spacing w:line="48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6C1C73">
        <w:rPr>
          <w:rFonts w:ascii="標楷體" w:eastAsia="標楷體" w:hAnsi="標楷體" w:hint="eastAsia"/>
          <w:sz w:val="28"/>
          <w:szCs w:val="28"/>
        </w:rPr>
        <w:t>四、聯合服務中心所受理收受書狀、訴訟諮詢等業務，為免群聚，增加染疫風險，會適時採取人流管控，限制入內民眾之數量，並請有遞狀需求之民眾，多加使用郵寄遞狀、自行上網下載空白書狀；另有訴訟諮詢需求之民眾，則請多加使用電話或視訊諮詢。</w:t>
      </w:r>
    </w:p>
    <w:p w:rsidR="006C1C73" w:rsidRPr="006C1C73" w:rsidRDefault="006C1C73" w:rsidP="00C14EFC">
      <w:pPr>
        <w:spacing w:line="48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6C1C73">
        <w:rPr>
          <w:rFonts w:ascii="標楷體" w:eastAsia="標楷體" w:hAnsi="標楷體" w:hint="eastAsia"/>
          <w:sz w:val="28"/>
          <w:szCs w:val="28"/>
        </w:rPr>
        <w:t>五、律師或其他當事人聲請閱卷時，請多聲請電子卷證，以避免為聲請閱卷而有染疫風險。</w:t>
      </w:r>
    </w:p>
    <w:p w:rsidR="00A82A11" w:rsidRPr="00A82A11" w:rsidRDefault="00A82A11" w:rsidP="00A82A11">
      <w:pPr>
        <w:spacing w:line="480" w:lineRule="exact"/>
        <w:ind w:left="641" w:hanging="641"/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A82A1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lastRenderedPageBreak/>
        <w:t>★法院遠距視訊開庭相關說明，請至本院外網→便民服務→視訊開庭「U會議」專區查詢。</w:t>
      </w:r>
    </w:p>
    <w:p w:rsidR="00A82A11" w:rsidRPr="00A82A11" w:rsidRDefault="00A82A11" w:rsidP="00A82A11">
      <w:pPr>
        <w:spacing w:line="480" w:lineRule="exact"/>
        <w:ind w:left="641" w:hanging="641"/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</w:p>
    <w:p w:rsidR="00A82A11" w:rsidRPr="00A82A11" w:rsidRDefault="00A82A11" w:rsidP="00A82A11">
      <w:pPr>
        <w:widowControl/>
        <w:spacing w:line="480" w:lineRule="exact"/>
        <w:rPr>
          <w:rFonts w:ascii="標楷體" w:eastAsia="標楷體" w:hAnsi="標楷體" w:cs="Times New Roman"/>
          <w:color w:val="7F7F7F"/>
          <w:kern w:val="0"/>
          <w:sz w:val="28"/>
          <w:szCs w:val="28"/>
        </w:rPr>
      </w:pPr>
      <w:r w:rsidRPr="00A82A11">
        <w:rPr>
          <w:rFonts w:ascii="標楷體" w:eastAsia="標楷體" w:hAnsi="標楷體" w:cs="Times New Roman" w:hint="eastAsia"/>
          <w:color w:val="7F7F7F"/>
          <w:kern w:val="0"/>
          <w:sz w:val="28"/>
          <w:szCs w:val="28"/>
        </w:rPr>
        <w:t>附表</w:t>
      </w:r>
    </w:p>
    <w:tbl>
      <w:tblPr>
        <w:tblStyle w:val="aa"/>
        <w:tblW w:w="9073" w:type="dxa"/>
        <w:tblInd w:w="-431" w:type="dxa"/>
        <w:tblLook w:val="04A0" w:firstRow="1" w:lastRow="0" w:firstColumn="1" w:lastColumn="0" w:noHBand="0" w:noVBand="1"/>
      </w:tblPr>
      <w:tblGrid>
        <w:gridCol w:w="1813"/>
        <w:gridCol w:w="1165"/>
        <w:gridCol w:w="1984"/>
        <w:gridCol w:w="1134"/>
        <w:gridCol w:w="1701"/>
        <w:gridCol w:w="1276"/>
      </w:tblGrid>
      <w:tr w:rsidR="00E53AFC" w:rsidRPr="00A82A11" w:rsidTr="00E53AF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刑事</w:t>
            </w: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法庭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可容納人數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民事</w:t>
            </w: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法庭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可容納人數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E53AFC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其他</w:t>
            </w:r>
            <w:r w:rsidR="00A82A11"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法庭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可容納人數</w:t>
            </w:r>
          </w:p>
        </w:tc>
      </w:tr>
      <w:tr w:rsidR="00E53AFC" w:rsidRPr="00A82A11" w:rsidTr="00E53AF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刑一法庭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民一法庭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雙向一法庭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6</w:t>
            </w:r>
          </w:p>
        </w:tc>
      </w:tr>
      <w:tr w:rsidR="00E53AFC" w:rsidRPr="00A82A11" w:rsidTr="00E53AF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刑二法庭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民二法庭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雙向二法廷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5</w:t>
            </w:r>
          </w:p>
        </w:tc>
      </w:tr>
      <w:tr w:rsidR="00E53AFC" w:rsidRPr="00A82A11" w:rsidTr="00E53AF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刑三法庭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民三法庭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遠距法庭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4</w:t>
            </w:r>
          </w:p>
        </w:tc>
      </w:tr>
      <w:tr w:rsidR="00E53AFC" w:rsidRPr="00A82A11" w:rsidTr="00E53AF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刑四法庭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民四法庭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E53AFC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 xml:space="preserve">民事執行 </w:t>
            </w:r>
            <w:r w:rsidR="00A82A11"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投標室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25</w:t>
            </w:r>
          </w:p>
        </w:tc>
      </w:tr>
      <w:tr w:rsidR="00E53AFC" w:rsidRPr="00A82A11" w:rsidTr="00E53AF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刑七法庭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民五法庭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</w:p>
        </w:tc>
      </w:tr>
      <w:tr w:rsidR="00E53AFC" w:rsidRPr="00A82A11" w:rsidTr="00E53AF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刑八法庭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民六法庭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</w:p>
        </w:tc>
      </w:tr>
      <w:tr w:rsidR="00E53AFC" w:rsidRPr="00A82A11" w:rsidTr="00E53AF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刑九法庭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民七法庭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</w:p>
        </w:tc>
      </w:tr>
      <w:tr w:rsidR="00E53AFC" w:rsidRPr="00A82A11" w:rsidTr="00E53AF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刑十法庭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民八法庭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</w:p>
        </w:tc>
      </w:tr>
      <w:tr w:rsidR="00E53AFC" w:rsidRPr="00A82A11" w:rsidTr="00E53AF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刑十一法庭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民九法庭</w:t>
            </w:r>
          </w:p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</w:p>
        </w:tc>
      </w:tr>
      <w:tr w:rsidR="00E53AFC" w:rsidRPr="00A82A11" w:rsidTr="00E53AF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刑十二法庭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雄簡第一法庭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</w:p>
        </w:tc>
      </w:tr>
      <w:tr w:rsidR="00E53AFC" w:rsidRPr="00A82A11" w:rsidTr="00E53AF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刑十三法庭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雄簡第二法庭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</w:p>
        </w:tc>
      </w:tr>
      <w:tr w:rsidR="00E53AFC" w:rsidRPr="00A82A11" w:rsidTr="00E53AF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刑十四法庭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雄簡第三法庭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</w:p>
        </w:tc>
      </w:tr>
      <w:tr w:rsidR="00E53AFC" w:rsidRPr="00A82A11" w:rsidTr="00E53AF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刑十五法庭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鳳山民一法庭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</w:p>
        </w:tc>
      </w:tr>
      <w:tr w:rsidR="00E53AFC" w:rsidRPr="00A82A11" w:rsidTr="00E53AF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刑事</w:t>
            </w: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審一法庭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鳳山民二法庭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</w:p>
        </w:tc>
      </w:tr>
      <w:tr w:rsidR="00E53AFC" w:rsidRPr="00A82A11" w:rsidTr="00E53AF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刑事</w:t>
            </w: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審二法庭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</w:p>
        </w:tc>
      </w:tr>
      <w:tr w:rsidR="00E53AFC" w:rsidRPr="00A82A11" w:rsidTr="00E53AF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刑事</w:t>
            </w: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審三法庭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A82A11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1" w:rsidRPr="00A82A11" w:rsidRDefault="00A82A11" w:rsidP="00A82A11">
            <w:pPr>
              <w:widowControl/>
              <w:spacing w:line="480" w:lineRule="exac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</w:p>
        </w:tc>
      </w:tr>
    </w:tbl>
    <w:p w:rsidR="00A82A11" w:rsidRPr="00A82A11" w:rsidRDefault="00A82A11" w:rsidP="00A82A11">
      <w:pPr>
        <w:widowControl/>
        <w:spacing w:line="480" w:lineRule="exact"/>
        <w:rPr>
          <w:rFonts w:ascii="標楷體" w:eastAsia="標楷體" w:hAnsi="標楷體" w:cs="Times New Roman"/>
          <w:color w:val="7F7F7F"/>
          <w:kern w:val="0"/>
          <w:sz w:val="28"/>
          <w:szCs w:val="28"/>
        </w:rPr>
      </w:pPr>
    </w:p>
    <w:p w:rsidR="00203673" w:rsidRPr="00A82A11" w:rsidRDefault="00203673" w:rsidP="00A82A11">
      <w:pPr>
        <w:spacing w:line="480" w:lineRule="exact"/>
        <w:ind w:left="641" w:hanging="641"/>
        <w:rPr>
          <w:rFonts w:ascii="標楷體" w:eastAsia="標楷體" w:hAnsi="標楷體"/>
          <w:color w:val="FF0000"/>
          <w:sz w:val="28"/>
          <w:szCs w:val="28"/>
        </w:rPr>
      </w:pPr>
    </w:p>
    <w:sectPr w:rsidR="00203673" w:rsidRPr="00A82A11" w:rsidSect="00C23847">
      <w:pgSz w:w="11906" w:h="16838"/>
      <w:pgMar w:top="567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9EB" w:rsidRDefault="008139EB" w:rsidP="00DB7BC6">
      <w:r>
        <w:separator/>
      </w:r>
    </w:p>
  </w:endnote>
  <w:endnote w:type="continuationSeparator" w:id="0">
    <w:p w:rsidR="008139EB" w:rsidRDefault="008139EB" w:rsidP="00DB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華康隸書體W7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9EB" w:rsidRDefault="008139EB" w:rsidP="00DB7BC6">
      <w:r>
        <w:separator/>
      </w:r>
    </w:p>
  </w:footnote>
  <w:footnote w:type="continuationSeparator" w:id="0">
    <w:p w:rsidR="008139EB" w:rsidRDefault="008139EB" w:rsidP="00DB7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63E5A"/>
    <w:multiLevelType w:val="hybridMultilevel"/>
    <w:tmpl w:val="CF6C0A9E"/>
    <w:lvl w:ilvl="0" w:tplc="918667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77"/>
    <w:rsid w:val="0006572A"/>
    <w:rsid w:val="000B0686"/>
    <w:rsid w:val="001271FB"/>
    <w:rsid w:val="00153B79"/>
    <w:rsid w:val="00183344"/>
    <w:rsid w:val="00203673"/>
    <w:rsid w:val="0026749E"/>
    <w:rsid w:val="003F2837"/>
    <w:rsid w:val="004345F0"/>
    <w:rsid w:val="00462B8C"/>
    <w:rsid w:val="004D6500"/>
    <w:rsid w:val="004D6871"/>
    <w:rsid w:val="005D2087"/>
    <w:rsid w:val="005E7B98"/>
    <w:rsid w:val="0064577C"/>
    <w:rsid w:val="0065549B"/>
    <w:rsid w:val="00691AD0"/>
    <w:rsid w:val="006C1C73"/>
    <w:rsid w:val="006D05B2"/>
    <w:rsid w:val="006F0EE9"/>
    <w:rsid w:val="007541BE"/>
    <w:rsid w:val="007B03AE"/>
    <w:rsid w:val="008139EB"/>
    <w:rsid w:val="00850957"/>
    <w:rsid w:val="00864757"/>
    <w:rsid w:val="008F131D"/>
    <w:rsid w:val="00A8046B"/>
    <w:rsid w:val="00A82A11"/>
    <w:rsid w:val="00AE0541"/>
    <w:rsid w:val="00B10731"/>
    <w:rsid w:val="00B86EB0"/>
    <w:rsid w:val="00B908B5"/>
    <w:rsid w:val="00B955A7"/>
    <w:rsid w:val="00BF7E1C"/>
    <w:rsid w:val="00C14EFC"/>
    <w:rsid w:val="00C23847"/>
    <w:rsid w:val="00D003CE"/>
    <w:rsid w:val="00DB7BC6"/>
    <w:rsid w:val="00E27C77"/>
    <w:rsid w:val="00E53AFC"/>
    <w:rsid w:val="00E82AB2"/>
    <w:rsid w:val="00E94399"/>
    <w:rsid w:val="00EE76F4"/>
    <w:rsid w:val="00F67238"/>
    <w:rsid w:val="00F93E8C"/>
    <w:rsid w:val="00FB5128"/>
    <w:rsid w:val="00FB7EB7"/>
    <w:rsid w:val="00FE40FA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32444"/>
  <w15:chartTrackingRefBased/>
  <w15:docId w15:val="{D4BFF5AC-C808-49D4-9153-62E2C6E5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238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7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7B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7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7BC6"/>
    <w:rPr>
      <w:sz w:val="20"/>
      <w:szCs w:val="20"/>
    </w:rPr>
  </w:style>
  <w:style w:type="paragraph" w:styleId="a9">
    <w:name w:val="List Paragraph"/>
    <w:basedOn w:val="a"/>
    <w:uiPriority w:val="34"/>
    <w:qFormat/>
    <w:rsid w:val="00E82AB2"/>
    <w:pPr>
      <w:ind w:leftChars="200" w:left="480"/>
    </w:pPr>
  </w:style>
  <w:style w:type="table" w:styleId="aa">
    <w:name w:val="Table Grid"/>
    <w:basedOn w:val="a1"/>
    <w:uiPriority w:val="39"/>
    <w:rsid w:val="00A82A11"/>
    <w:rPr>
      <w:rFonts w:ascii="Caladea" w:eastAsia="Times New Roman" w:hAnsi="Caladea" w:cs="Times New Roman"/>
      <w:kern w:val="0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3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Users\sm30\AppData\Local\Microsoft\Windows\Temporary%20Internet%20Files\Content.IE5\Local%20Settings\Temporary%20Internet%20Files\Content.IE5\OHMVC1YV\&#26032;&#32862;&#31295;\My%20Documents\&#34892;&#25919;&#24237;&#38263;\&#38620;&#19971;&#38620;&#20843;\A5-02-13.j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E4D17-ECD3-4705-93CD-5A9A5A2B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趙美玲</cp:lastModifiedBy>
  <cp:revision>3</cp:revision>
  <cp:lastPrinted>2021-05-06T06:22:00Z</cp:lastPrinted>
  <dcterms:created xsi:type="dcterms:W3CDTF">2021-07-23T09:18:00Z</dcterms:created>
  <dcterms:modified xsi:type="dcterms:W3CDTF">2021-07-23T09:30:00Z</dcterms:modified>
</cp:coreProperties>
</file>